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FAF" w:rsidRDefault="00970FAF" w:rsidP="005B4294">
      <w:pPr>
        <w:pStyle w:val="Nagwek1"/>
        <w:rPr>
          <w:rFonts w:eastAsia="Times New Roman"/>
          <w:bdr w:val="none" w:sz="0" w:space="0" w:color="auto" w:frame="1"/>
          <w:lang w:val="en-US" w:eastAsia="pl-PL"/>
        </w:rPr>
      </w:pPr>
      <w:bookmarkStart w:id="0" w:name="_GoBack"/>
      <w:bookmarkEnd w:id="0"/>
      <w:r w:rsidRPr="00644970">
        <w:rPr>
          <w:rFonts w:eastAsia="Times New Roman" w:cstheme="minorHAnsi"/>
          <w:b/>
          <w:bCs/>
          <w:noProof/>
          <w:color w:val="222222"/>
          <w:sz w:val="28"/>
          <w:szCs w:val="28"/>
          <w:lang w:eastAsia="pl-PL"/>
        </w:rPr>
        <w:drawing>
          <wp:inline distT="0" distB="0" distL="0" distR="0" wp14:anchorId="4AA061E8" wp14:editId="05D8DF2C">
            <wp:extent cx="1432560" cy="922020"/>
            <wp:effectExtent l="0" t="0" r="0" b="0"/>
            <wp:docPr id="2" name="Obraz 2" descr="C:\Users\ljaszewska\Downloads\thumbnail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jaszewska\Downloads\thumbnail_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294" w:rsidRDefault="005B4294" w:rsidP="005B4294">
      <w:pPr>
        <w:pStyle w:val="Nagwek1"/>
        <w:rPr>
          <w:rFonts w:eastAsia="Times New Roman"/>
          <w:bdr w:val="none" w:sz="0" w:space="0" w:color="auto" w:frame="1"/>
          <w:lang w:val="en-US" w:eastAsia="pl-PL"/>
        </w:rPr>
      </w:pPr>
      <w:proofErr w:type="spellStart"/>
      <w:r>
        <w:rPr>
          <w:rFonts w:eastAsia="Times New Roman"/>
          <w:bdr w:val="none" w:sz="0" w:space="0" w:color="auto" w:frame="1"/>
          <w:lang w:val="en-US" w:eastAsia="pl-PL"/>
        </w:rPr>
        <w:t>Debata</w:t>
      </w:r>
      <w:proofErr w:type="spellEnd"/>
      <w:r>
        <w:rPr>
          <w:rFonts w:eastAsia="Times New Roman"/>
          <w:bdr w:val="none" w:sz="0" w:space="0" w:color="auto" w:frame="1"/>
          <w:lang w:val="en-US" w:eastAsia="pl-PL"/>
        </w:rPr>
        <w:t xml:space="preserve">: </w:t>
      </w:r>
      <w:r w:rsidRPr="00D97494">
        <w:rPr>
          <w:rFonts w:eastAsia="Times New Roman"/>
          <w:bdr w:val="none" w:sz="0" w:space="0" w:color="auto" w:frame="1"/>
          <w:lang w:val="en-US" w:eastAsia="pl-PL"/>
        </w:rPr>
        <w:t>Lessons from Nuremberg for the 21st Century</w:t>
      </w:r>
      <w:r w:rsidR="00B8130F">
        <w:rPr>
          <w:rFonts w:eastAsia="Times New Roman"/>
          <w:bdr w:val="none" w:sz="0" w:space="0" w:color="auto" w:frame="1"/>
          <w:lang w:val="en-US" w:eastAsia="pl-PL"/>
        </w:rPr>
        <w:t xml:space="preserve"> </w:t>
      </w:r>
    </w:p>
    <w:p w:rsidR="005B4294" w:rsidRPr="005B4294" w:rsidRDefault="005B4294" w:rsidP="005B4294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7"/>
          <w:lang w:eastAsia="pl-PL"/>
        </w:rPr>
      </w:pPr>
      <w:r w:rsidRPr="005B4294">
        <w:rPr>
          <w:rFonts w:eastAsia="Times New Roman" w:cs="Times New Roman"/>
          <w:color w:val="000000"/>
          <w:sz w:val="24"/>
          <w:szCs w:val="27"/>
          <w:lang w:eastAsia="pl-PL"/>
        </w:rPr>
        <w:t xml:space="preserve">W trakcie tej debaty przyjrzymy się temu, w jaki sposób Procesy norymberskie oraz zapoczątkowane przez nie struktury międzynarodowego wymiaru sprawiedliwości </w:t>
      </w:r>
      <w:r>
        <w:rPr>
          <w:rFonts w:eastAsia="Times New Roman" w:cs="Times New Roman"/>
          <w:color w:val="000000"/>
          <w:sz w:val="24"/>
          <w:szCs w:val="27"/>
          <w:lang w:eastAsia="pl-PL"/>
        </w:rPr>
        <w:br/>
      </w:r>
      <w:r w:rsidRPr="005B4294">
        <w:rPr>
          <w:rFonts w:eastAsia="Times New Roman" w:cs="Times New Roman"/>
          <w:color w:val="000000"/>
          <w:sz w:val="24"/>
          <w:szCs w:val="27"/>
          <w:lang w:eastAsia="pl-PL"/>
        </w:rPr>
        <w:t xml:space="preserve">i współpracy między państwami ukształtowały powojenny porządek świata. Okres zimnej wojny przyniósł bowiem doniosłe osiągnięcia w zakresie globalnego uznania praw człowieka – czego wyrazem była między innymi Konwencja ONZ w sprawie zapobiegania i karania zbrodni ludobójstwa – a zarazem naznaczony był brutalnymi konfliktami i kryzysami, w których zbrodnie wojenne oraz akty ludobójstwa boleśnie podważały wiarę w skuteczność </w:t>
      </w:r>
      <w:r>
        <w:rPr>
          <w:rFonts w:eastAsia="Times New Roman" w:cs="Times New Roman"/>
          <w:color w:val="000000"/>
          <w:sz w:val="24"/>
          <w:szCs w:val="27"/>
          <w:lang w:eastAsia="pl-PL"/>
        </w:rPr>
        <w:br/>
      </w:r>
      <w:r w:rsidRPr="005B4294">
        <w:rPr>
          <w:rFonts w:eastAsia="Times New Roman" w:cs="Times New Roman"/>
          <w:color w:val="000000"/>
          <w:sz w:val="24"/>
          <w:szCs w:val="27"/>
          <w:lang w:eastAsia="pl-PL"/>
        </w:rPr>
        <w:t>i bezstronność międzynarodowej sprawiedliwości.</w:t>
      </w:r>
    </w:p>
    <w:p w:rsidR="005B4294" w:rsidRPr="005B4294" w:rsidRDefault="005B4294" w:rsidP="005B4294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7"/>
          <w:lang w:eastAsia="pl-PL"/>
        </w:rPr>
      </w:pPr>
      <w:r w:rsidRPr="005B4294">
        <w:rPr>
          <w:rFonts w:eastAsia="Times New Roman" w:cs="Times New Roman"/>
          <w:color w:val="000000"/>
          <w:sz w:val="24"/>
          <w:szCs w:val="27"/>
          <w:lang w:eastAsia="pl-PL"/>
        </w:rPr>
        <w:t>Zakończenie zimnej wojny i wejście w XXI wiek nie przyniosły ostatecznego przezwyciężenia tych napięć – przeciwnie, wiele z nich uległo pogłębieniu. Coraz częściej powraca bowiem niebezpieczna doktryna „siła stanowi o prawie”, zagrażająca kruchemu ładowi współpracy międzynarodowej i systemowi zbiorowego bezpieczeństwa budowanemu przez dekady.</w:t>
      </w:r>
    </w:p>
    <w:p w:rsidR="005B4294" w:rsidRPr="005B4294" w:rsidRDefault="005B4294" w:rsidP="005B4294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7"/>
          <w:lang w:eastAsia="pl-PL"/>
        </w:rPr>
      </w:pPr>
      <w:r w:rsidRPr="005B4294">
        <w:rPr>
          <w:rFonts w:eastAsia="Times New Roman" w:cs="Times New Roman"/>
          <w:color w:val="000000"/>
          <w:sz w:val="24"/>
          <w:szCs w:val="27"/>
          <w:lang w:eastAsia="pl-PL"/>
        </w:rPr>
        <w:t>Powracając myślą do Norymbergi, warto postawić pytanie, jakie problemy i nierozstrzygnięte kwestie istniały już u samych początków tego projektu oraz w jaki sposób mogły one osłabić wizję pokoju światowego opartego na międzynarodowej sprawiedliwości – wizję, którą Norymberga zdawała się obiecywać. Równocześnie należy zapytać, jakie czynniki umożliwiły powstanie i rozwój instytucji globalnej współpracy, takich jak Międzynarodowy Trybunał Sprawiedliwości czy Międzynarodowy Trybunał Karny, oraz w jaki sposób ich dorobek może zostać wykorzystany i rozwinięty w obliczu współczesnych i przyszłych kryzysów.</w:t>
      </w:r>
    </w:p>
    <w:p w:rsidR="005B4294" w:rsidRPr="00D97494" w:rsidRDefault="005B4294" w:rsidP="005B4294">
      <w:pPr>
        <w:pStyle w:val="NormalnyWeb"/>
        <w:spacing w:before="0" w:beforeAutospacing="0" w:after="0" w:afterAutospacing="0" w:line="264" w:lineRule="auto"/>
        <w:rPr>
          <w:rFonts w:asciiTheme="minorHAnsi" w:hAnsiTheme="minorHAnsi" w:cstheme="minorHAnsi"/>
          <w:b/>
          <w:lang w:val="en-US"/>
        </w:rPr>
      </w:pPr>
      <w:proofErr w:type="spellStart"/>
      <w:r w:rsidRPr="00D97494">
        <w:rPr>
          <w:rFonts w:asciiTheme="minorHAnsi" w:hAnsiTheme="minorHAnsi" w:cstheme="minorHAnsi"/>
          <w:b/>
          <w:lang w:val="en-US"/>
        </w:rPr>
        <w:t>Goście</w:t>
      </w:r>
      <w:proofErr w:type="spellEnd"/>
      <w:r w:rsidRPr="00D97494">
        <w:rPr>
          <w:rFonts w:asciiTheme="minorHAnsi" w:hAnsiTheme="minorHAnsi" w:cstheme="minorHAnsi"/>
          <w:b/>
          <w:lang w:val="en-US"/>
        </w:rPr>
        <w:t xml:space="preserve">: </w:t>
      </w:r>
    </w:p>
    <w:p w:rsidR="00E4208A" w:rsidRPr="00E4208A" w:rsidRDefault="005B4294" w:rsidP="00E4208A">
      <w:pPr>
        <w:numPr>
          <w:ilvl w:val="0"/>
          <w:numId w:val="1"/>
        </w:numPr>
        <w:tabs>
          <w:tab w:val="num" w:pos="12"/>
        </w:tabs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D9749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Steve </w:t>
      </w:r>
      <w:proofErr w:type="spellStart"/>
      <w:r w:rsidRPr="00D97494">
        <w:rPr>
          <w:rFonts w:eastAsia="Times New Roman" w:cstheme="minorHAnsi"/>
          <w:b/>
          <w:bCs/>
          <w:sz w:val="24"/>
          <w:szCs w:val="24"/>
          <w:lang w:eastAsia="pl-PL"/>
        </w:rPr>
        <w:t>Crawshaw</w:t>
      </w:r>
      <w:proofErr w:type="spellEnd"/>
      <w:r w:rsidRPr="00D97494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Pr="00D97494">
        <w:rPr>
          <w:rFonts w:eastAsia="Times New Roman" w:cstheme="minorHAnsi"/>
          <w:sz w:val="24"/>
          <w:szCs w:val="24"/>
          <w:lang w:eastAsia="pl-PL"/>
        </w:rPr>
        <w:t xml:space="preserve"> Brytyjski dziennikarz i pisarz, były korespondent „The Independent”. Pełnił funkcje dyrektorskie w Human </w:t>
      </w:r>
      <w:proofErr w:type="spellStart"/>
      <w:r w:rsidRPr="00D97494">
        <w:rPr>
          <w:rFonts w:eastAsia="Times New Roman" w:cstheme="minorHAnsi"/>
          <w:sz w:val="24"/>
          <w:szCs w:val="24"/>
          <w:lang w:eastAsia="pl-PL"/>
        </w:rPr>
        <w:t>Rights</w:t>
      </w:r>
      <w:proofErr w:type="spellEnd"/>
      <w:r w:rsidRPr="00D97494">
        <w:rPr>
          <w:rFonts w:eastAsia="Times New Roman" w:cstheme="minorHAnsi"/>
          <w:sz w:val="24"/>
          <w:szCs w:val="24"/>
          <w:lang w:eastAsia="pl-PL"/>
        </w:rPr>
        <w:t xml:space="preserve"> Watch oraz </w:t>
      </w:r>
      <w:proofErr w:type="spellStart"/>
      <w:r w:rsidRPr="00D97494">
        <w:rPr>
          <w:rFonts w:eastAsia="Times New Roman" w:cstheme="minorHAnsi"/>
          <w:sz w:val="24"/>
          <w:szCs w:val="24"/>
          <w:lang w:eastAsia="pl-PL"/>
        </w:rPr>
        <w:t>Amnesty</w:t>
      </w:r>
      <w:proofErr w:type="spellEnd"/>
      <w:r w:rsidRPr="00D97494">
        <w:rPr>
          <w:rFonts w:eastAsia="Times New Roman" w:cstheme="minorHAnsi"/>
          <w:sz w:val="24"/>
          <w:szCs w:val="24"/>
          <w:lang w:eastAsia="pl-PL"/>
        </w:rPr>
        <w:t xml:space="preserve"> International. Specjalizuje się w tematyce sprawiedliwości międzynarodowej.</w:t>
      </w:r>
    </w:p>
    <w:p w:rsidR="00E4208A" w:rsidRPr="00E4208A" w:rsidRDefault="00E4208A" w:rsidP="00E4208A">
      <w:pPr>
        <w:numPr>
          <w:ilvl w:val="0"/>
          <w:numId w:val="1"/>
        </w:numPr>
        <w:tabs>
          <w:tab w:val="num" w:pos="12"/>
        </w:tabs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E4208A">
        <w:rPr>
          <w:rFonts w:cstheme="minorHAnsi"/>
          <w:b/>
          <w:bCs/>
          <w:sz w:val="24"/>
          <w:szCs w:val="24"/>
          <w:lang w:val="en-US"/>
        </w:rPr>
        <w:t>Jack El-Hai</w:t>
      </w:r>
      <w:r>
        <w:rPr>
          <w:rFonts w:cstheme="minorHAnsi"/>
          <w:b/>
          <w:bCs/>
          <w:sz w:val="24"/>
          <w:szCs w:val="24"/>
          <w:lang w:val="en-US"/>
        </w:rPr>
        <w:t xml:space="preserve">: </w:t>
      </w:r>
      <w:proofErr w:type="spellStart"/>
      <w:r w:rsidRPr="00E4208A">
        <w:rPr>
          <w:rFonts w:cstheme="minorHAnsi"/>
          <w:sz w:val="24"/>
          <w:szCs w:val="24"/>
          <w:lang w:val="en-US"/>
        </w:rPr>
        <w:t>autor</w:t>
      </w:r>
      <w:proofErr w:type="spellEnd"/>
      <w:r w:rsidRPr="00E4208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4208A">
        <w:rPr>
          <w:rFonts w:cstheme="minorHAnsi"/>
          <w:sz w:val="24"/>
          <w:szCs w:val="24"/>
          <w:lang w:val="en-US"/>
        </w:rPr>
        <w:t>bestsellerowego</w:t>
      </w:r>
      <w:proofErr w:type="spellEnd"/>
      <w:r w:rsidRPr="00E4208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4208A">
        <w:rPr>
          <w:rFonts w:cstheme="minorHAnsi"/>
          <w:sz w:val="24"/>
          <w:szCs w:val="24"/>
          <w:lang w:val="en-US"/>
        </w:rPr>
        <w:t>reportażu</w:t>
      </w:r>
      <w:proofErr w:type="spellEnd"/>
      <w:r w:rsidRPr="00E4208A">
        <w:rPr>
          <w:rFonts w:cstheme="minorHAnsi"/>
          <w:sz w:val="24"/>
          <w:szCs w:val="24"/>
          <w:lang w:val="en-US"/>
        </w:rPr>
        <w:t xml:space="preserve"> „</w:t>
      </w:r>
      <w:proofErr w:type="spellStart"/>
      <w:r w:rsidRPr="00E4208A">
        <w:rPr>
          <w:rFonts w:cstheme="minorHAnsi"/>
          <w:sz w:val="24"/>
          <w:szCs w:val="24"/>
          <w:lang w:val="en-US"/>
        </w:rPr>
        <w:t>Norymberga</w:t>
      </w:r>
      <w:proofErr w:type="spellEnd"/>
      <w:r w:rsidRPr="00E4208A">
        <w:rPr>
          <w:rFonts w:cstheme="minorHAnsi"/>
          <w:sz w:val="24"/>
          <w:szCs w:val="24"/>
          <w:lang w:val="en-US"/>
        </w:rPr>
        <w:t xml:space="preserve">. </w:t>
      </w:r>
      <w:r w:rsidRPr="00E4208A">
        <w:rPr>
          <w:rFonts w:cstheme="minorHAnsi"/>
          <w:sz w:val="24"/>
          <w:szCs w:val="24"/>
        </w:rPr>
        <w:t xml:space="preserve">Naziści oczami psychiatry”, amerykański dziennikarz i autor specjalizujący się w historii, medycynie oraz nauce. Wykładowca czołowych uczelni (m.in. </w:t>
      </w:r>
      <w:r w:rsidRPr="00E4208A">
        <w:rPr>
          <w:rFonts w:cstheme="minorHAnsi"/>
          <w:bCs/>
          <w:sz w:val="24"/>
          <w:szCs w:val="24"/>
        </w:rPr>
        <w:t>Yale i Harvard</w:t>
      </w:r>
      <w:r w:rsidRPr="00E4208A">
        <w:rPr>
          <w:rFonts w:cstheme="minorHAnsi"/>
          <w:sz w:val="24"/>
          <w:szCs w:val="24"/>
        </w:rPr>
        <w:t xml:space="preserve">) oraz prelegent w renomowanych placówkach medycznych. Publikował w prestiżowych tytułach, takich jak </w:t>
      </w:r>
      <w:r w:rsidRPr="00E4208A">
        <w:rPr>
          <w:rFonts w:cstheme="minorHAnsi"/>
          <w:bCs/>
          <w:sz w:val="24"/>
          <w:szCs w:val="24"/>
        </w:rPr>
        <w:t xml:space="preserve">„The </w:t>
      </w:r>
      <w:proofErr w:type="spellStart"/>
      <w:r w:rsidRPr="00E4208A">
        <w:rPr>
          <w:rFonts w:cstheme="minorHAnsi"/>
          <w:bCs/>
          <w:sz w:val="24"/>
          <w:szCs w:val="24"/>
        </w:rPr>
        <w:t>Atlantic</w:t>
      </w:r>
      <w:proofErr w:type="spellEnd"/>
      <w:r w:rsidRPr="00E4208A">
        <w:rPr>
          <w:rFonts w:cstheme="minorHAnsi"/>
          <w:bCs/>
          <w:sz w:val="24"/>
          <w:szCs w:val="24"/>
        </w:rPr>
        <w:t>”, „</w:t>
      </w:r>
      <w:proofErr w:type="spellStart"/>
      <w:r w:rsidRPr="00E4208A">
        <w:rPr>
          <w:rFonts w:cstheme="minorHAnsi"/>
          <w:bCs/>
          <w:sz w:val="24"/>
          <w:szCs w:val="24"/>
        </w:rPr>
        <w:t>Scientific</w:t>
      </w:r>
      <w:proofErr w:type="spellEnd"/>
      <w:r w:rsidRPr="00E4208A">
        <w:rPr>
          <w:rFonts w:cstheme="minorHAnsi"/>
          <w:bCs/>
          <w:sz w:val="24"/>
          <w:szCs w:val="24"/>
        </w:rPr>
        <w:t xml:space="preserve"> American”</w:t>
      </w:r>
      <w:r w:rsidRPr="00E4208A">
        <w:rPr>
          <w:rFonts w:cstheme="minorHAnsi"/>
          <w:sz w:val="24"/>
          <w:szCs w:val="24"/>
        </w:rPr>
        <w:t xml:space="preserve"> i </w:t>
      </w:r>
      <w:r w:rsidRPr="00E4208A">
        <w:rPr>
          <w:rFonts w:cstheme="minorHAnsi"/>
          <w:bCs/>
          <w:sz w:val="24"/>
          <w:szCs w:val="24"/>
        </w:rPr>
        <w:t>„</w:t>
      </w:r>
      <w:proofErr w:type="spellStart"/>
      <w:r w:rsidRPr="00E4208A">
        <w:rPr>
          <w:rFonts w:cstheme="minorHAnsi"/>
          <w:bCs/>
          <w:sz w:val="24"/>
          <w:szCs w:val="24"/>
        </w:rPr>
        <w:t>Wired</w:t>
      </w:r>
      <w:proofErr w:type="spellEnd"/>
      <w:r w:rsidRPr="00E4208A">
        <w:rPr>
          <w:rFonts w:cstheme="minorHAnsi"/>
          <w:bCs/>
          <w:sz w:val="24"/>
          <w:szCs w:val="24"/>
        </w:rPr>
        <w:t>”</w:t>
      </w:r>
      <w:r w:rsidRPr="00E4208A">
        <w:rPr>
          <w:rFonts w:cstheme="minorHAnsi"/>
          <w:sz w:val="24"/>
          <w:szCs w:val="24"/>
        </w:rPr>
        <w:t xml:space="preserve">. </w:t>
      </w:r>
    </w:p>
    <w:p w:rsidR="005B4294" w:rsidRPr="00D97494" w:rsidRDefault="005B4294" w:rsidP="00E4208A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/>
      </w:r>
    </w:p>
    <w:p w:rsidR="005B4294" w:rsidRPr="00D97494" w:rsidRDefault="005B4294" w:rsidP="005B4294">
      <w:pPr>
        <w:numPr>
          <w:ilvl w:val="0"/>
          <w:numId w:val="1"/>
        </w:numPr>
        <w:tabs>
          <w:tab w:val="num" w:pos="12"/>
        </w:tabs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D97494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Mark Kramer:</w:t>
      </w:r>
      <w:r w:rsidRPr="00D97494">
        <w:rPr>
          <w:rFonts w:eastAsia="Times New Roman" w:cstheme="minorHAnsi"/>
          <w:sz w:val="24"/>
          <w:szCs w:val="24"/>
          <w:lang w:eastAsia="pl-PL"/>
        </w:rPr>
        <w:t xml:space="preserve"> Dyrektor programu studiów nad zimną wojną w Davis Center na Uniwersytecie Harvarda. Redaktor naczelny „</w:t>
      </w:r>
      <w:proofErr w:type="spellStart"/>
      <w:r w:rsidRPr="00D97494">
        <w:rPr>
          <w:rFonts w:eastAsia="Times New Roman" w:cstheme="minorHAnsi"/>
          <w:sz w:val="24"/>
          <w:szCs w:val="24"/>
          <w:lang w:eastAsia="pl-PL"/>
        </w:rPr>
        <w:t>Journal</w:t>
      </w:r>
      <w:proofErr w:type="spellEnd"/>
      <w:r w:rsidRPr="00D97494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D97494">
        <w:rPr>
          <w:rFonts w:eastAsia="Times New Roman" w:cstheme="minorHAnsi"/>
          <w:sz w:val="24"/>
          <w:szCs w:val="24"/>
          <w:lang w:eastAsia="pl-PL"/>
        </w:rPr>
        <w:t>Cold</w:t>
      </w:r>
      <w:proofErr w:type="spellEnd"/>
      <w:r w:rsidRPr="00D97494">
        <w:rPr>
          <w:rFonts w:eastAsia="Times New Roman" w:cstheme="minorHAnsi"/>
          <w:sz w:val="24"/>
          <w:szCs w:val="24"/>
          <w:lang w:eastAsia="pl-PL"/>
        </w:rPr>
        <w:t xml:space="preserve"> War </w:t>
      </w:r>
      <w:proofErr w:type="spellStart"/>
      <w:r w:rsidRPr="00D97494">
        <w:rPr>
          <w:rFonts w:eastAsia="Times New Roman" w:cstheme="minorHAnsi"/>
          <w:sz w:val="24"/>
          <w:szCs w:val="24"/>
          <w:lang w:eastAsia="pl-PL"/>
        </w:rPr>
        <w:t>Studies</w:t>
      </w:r>
      <w:proofErr w:type="spellEnd"/>
      <w:r w:rsidRPr="00D97494">
        <w:rPr>
          <w:rFonts w:eastAsia="Times New Roman" w:cstheme="minorHAnsi"/>
          <w:sz w:val="24"/>
          <w:szCs w:val="24"/>
          <w:lang w:eastAsia="pl-PL"/>
        </w:rPr>
        <w:t>”, autor publikacji opartych na badaniach w archiwach dawnego Układu Warszawskiego.</w:t>
      </w:r>
    </w:p>
    <w:p w:rsidR="005B4294" w:rsidRPr="00D97494" w:rsidRDefault="005B4294" w:rsidP="005B4294">
      <w:pPr>
        <w:numPr>
          <w:ilvl w:val="0"/>
          <w:numId w:val="1"/>
        </w:numPr>
        <w:tabs>
          <w:tab w:val="num" w:pos="12"/>
        </w:tabs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D9749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Igor </w:t>
      </w:r>
      <w:proofErr w:type="spellStart"/>
      <w:r w:rsidRPr="00D97494">
        <w:rPr>
          <w:rFonts w:eastAsia="Times New Roman" w:cstheme="minorHAnsi"/>
          <w:b/>
          <w:bCs/>
          <w:sz w:val="24"/>
          <w:szCs w:val="24"/>
          <w:lang w:eastAsia="pl-PL"/>
        </w:rPr>
        <w:t>Lukeš</w:t>
      </w:r>
      <w:proofErr w:type="spellEnd"/>
      <w:r w:rsidRPr="00D97494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Pr="00D97494">
        <w:rPr>
          <w:rFonts w:eastAsia="Times New Roman" w:cstheme="minorHAnsi"/>
          <w:sz w:val="24"/>
          <w:szCs w:val="24"/>
          <w:lang w:eastAsia="pl-PL"/>
        </w:rPr>
        <w:t xml:space="preserve"> Profesor historii i stosunków międzynarodowych na Uniwersytecie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D97494">
        <w:rPr>
          <w:rFonts w:eastAsia="Times New Roman" w:cstheme="minorHAnsi"/>
          <w:sz w:val="24"/>
          <w:szCs w:val="24"/>
          <w:lang w:eastAsia="pl-PL"/>
        </w:rPr>
        <w:t>Bostońskim. Specjalista w zakresie dziejów Europy Środkowej oraz działalności służb specjalnych. Konsul Honorowy Republiki Czeskiej w Bostonie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5B4294" w:rsidRPr="00E4208A" w:rsidRDefault="005B4294" w:rsidP="00F13879">
      <w:pPr>
        <w:numPr>
          <w:ilvl w:val="0"/>
          <w:numId w:val="1"/>
        </w:numPr>
        <w:tabs>
          <w:tab w:val="num" w:pos="12"/>
        </w:tabs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E4208A">
        <w:rPr>
          <w:rFonts w:cstheme="minorHAnsi"/>
          <w:b/>
          <w:bCs/>
        </w:rPr>
        <w:t xml:space="preserve">Krystian </w:t>
      </w:r>
      <w:proofErr w:type="spellStart"/>
      <w:r w:rsidRPr="00E4208A">
        <w:rPr>
          <w:rFonts w:cstheme="minorHAnsi"/>
          <w:b/>
          <w:bCs/>
        </w:rPr>
        <w:t>Wiciarz</w:t>
      </w:r>
      <w:proofErr w:type="spellEnd"/>
      <w:r w:rsidR="00E4208A">
        <w:rPr>
          <w:rFonts w:cstheme="minorHAnsi"/>
          <w:b/>
          <w:bCs/>
        </w:rPr>
        <w:t>:</w:t>
      </w:r>
      <w:r w:rsidRPr="00E4208A">
        <w:rPr>
          <w:rFonts w:cstheme="minorHAnsi"/>
        </w:rPr>
        <w:t xml:space="preserve"> p.o. Zastępcy Dyrektora ds. naukowych</w:t>
      </w:r>
      <w:r w:rsidR="00BE1957" w:rsidRPr="00E4208A">
        <w:rPr>
          <w:rFonts w:cstheme="minorHAnsi"/>
        </w:rPr>
        <w:t xml:space="preserve"> w Instytucie Pileckiego.</w:t>
      </w:r>
    </w:p>
    <w:p w:rsidR="005B4294" w:rsidRDefault="005B4294" w:rsidP="005B4294">
      <w:pPr>
        <w:pStyle w:val="Default"/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Moderator: </w:t>
      </w:r>
    </w:p>
    <w:p w:rsidR="005B4294" w:rsidRPr="00E4208A" w:rsidRDefault="005B4294" w:rsidP="005B4294">
      <w:pPr>
        <w:pStyle w:val="Default"/>
        <w:numPr>
          <w:ilvl w:val="0"/>
          <w:numId w:val="1"/>
        </w:numPr>
        <w:tabs>
          <w:tab w:val="clear" w:pos="1068"/>
          <w:tab w:val="num" w:pos="360"/>
        </w:tabs>
        <w:spacing w:after="240"/>
        <w:ind w:left="360"/>
        <w:rPr>
          <w:rFonts w:asciiTheme="minorHAnsi" w:hAnsiTheme="minorHAnsi" w:cstheme="minorHAnsi"/>
          <w:color w:val="1F1F1F"/>
        </w:rPr>
      </w:pPr>
      <w:r w:rsidRPr="00D97494">
        <w:rPr>
          <w:rFonts w:asciiTheme="minorHAnsi" w:hAnsiTheme="minorHAnsi" w:cstheme="minorHAnsi"/>
          <w:b/>
          <w:bCs/>
        </w:rPr>
        <w:t xml:space="preserve">dr John </w:t>
      </w:r>
      <w:proofErr w:type="spellStart"/>
      <w:r w:rsidRPr="00D97494">
        <w:rPr>
          <w:rFonts w:asciiTheme="minorHAnsi" w:hAnsiTheme="minorHAnsi" w:cstheme="minorHAnsi"/>
          <w:b/>
          <w:bCs/>
        </w:rPr>
        <w:t>Cornell</w:t>
      </w:r>
      <w:proofErr w:type="spellEnd"/>
      <w:r w:rsidRPr="00D97494">
        <w:rPr>
          <w:rFonts w:asciiTheme="minorHAnsi" w:hAnsiTheme="minorHAnsi" w:cstheme="minorHAnsi"/>
          <w:b/>
          <w:bCs/>
        </w:rPr>
        <w:t xml:space="preserve"> </w:t>
      </w:r>
      <w:r w:rsidR="00E4208A" w:rsidRPr="00E4208A">
        <w:rPr>
          <w:rFonts w:asciiTheme="minorHAnsi" w:hAnsiTheme="minorHAnsi" w:cstheme="minorHAnsi"/>
          <w:bCs/>
        </w:rPr>
        <w:t>adiunkt, Ośrodek Badań nad Totalitaryzmami, Instytut Pileckiego</w:t>
      </w:r>
    </w:p>
    <w:p w:rsidR="005B4294" w:rsidRPr="005B4294" w:rsidRDefault="005B4294" w:rsidP="005B4294">
      <w:pPr>
        <w:rPr>
          <w:lang w:eastAsia="pl-PL"/>
        </w:rPr>
      </w:pPr>
    </w:p>
    <w:p w:rsidR="005B4294" w:rsidRPr="005B4294" w:rsidRDefault="005B4294">
      <w:pPr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pl-PL"/>
        </w:rPr>
      </w:pPr>
    </w:p>
    <w:sectPr w:rsidR="005B4294" w:rsidRPr="005B4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F0000"/>
    <w:multiLevelType w:val="multilevel"/>
    <w:tmpl w:val="3BE297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23ECC"/>
    <w:multiLevelType w:val="hybridMultilevel"/>
    <w:tmpl w:val="AECEC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94"/>
    <w:rsid w:val="004B44FD"/>
    <w:rsid w:val="005B4294"/>
    <w:rsid w:val="006C274A"/>
    <w:rsid w:val="008F4856"/>
    <w:rsid w:val="00946ECF"/>
    <w:rsid w:val="00970FAF"/>
    <w:rsid w:val="00B8130F"/>
    <w:rsid w:val="00BE1957"/>
    <w:rsid w:val="00E22F8C"/>
    <w:rsid w:val="00E4208A"/>
    <w:rsid w:val="00EA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7D11-0E64-484C-8650-EFE15F3D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4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4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5B42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B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2505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Sochaczewski</dc:creator>
  <cp:keywords/>
  <dc:description/>
  <cp:lastModifiedBy>Lukrecja Jaszewska</cp:lastModifiedBy>
  <cp:revision>8</cp:revision>
  <dcterms:created xsi:type="dcterms:W3CDTF">2026-03-10T11:02:00Z</dcterms:created>
  <dcterms:modified xsi:type="dcterms:W3CDTF">2026-03-10T11:50:00Z</dcterms:modified>
</cp:coreProperties>
</file>